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92" w:rsidRPr="00C83004" w:rsidRDefault="00C83004" w:rsidP="00C83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04">
        <w:rPr>
          <w:rFonts w:ascii="Times New Roman" w:hAnsi="Times New Roman" w:cs="Times New Roman"/>
          <w:b/>
          <w:sz w:val="24"/>
          <w:szCs w:val="24"/>
        </w:rPr>
        <w:t>SAĞLIK BİLİMLERİ ENSTİTÜSÜ 201</w:t>
      </w:r>
      <w:r w:rsidR="006351E2">
        <w:rPr>
          <w:rFonts w:ascii="Times New Roman" w:hAnsi="Times New Roman" w:cs="Times New Roman"/>
          <w:b/>
          <w:sz w:val="24"/>
          <w:szCs w:val="24"/>
        </w:rPr>
        <w:t>9</w:t>
      </w:r>
      <w:r w:rsidR="00A7422E">
        <w:rPr>
          <w:rFonts w:ascii="Times New Roman" w:hAnsi="Times New Roman" w:cs="Times New Roman"/>
          <w:b/>
          <w:sz w:val="24"/>
          <w:szCs w:val="24"/>
        </w:rPr>
        <w:t>-20</w:t>
      </w:r>
      <w:r w:rsidR="006351E2">
        <w:rPr>
          <w:rFonts w:ascii="Times New Roman" w:hAnsi="Times New Roman" w:cs="Times New Roman"/>
          <w:b/>
          <w:sz w:val="24"/>
          <w:szCs w:val="24"/>
        </w:rPr>
        <w:t>20</w:t>
      </w:r>
      <w:r w:rsidRPr="00C8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E2">
        <w:rPr>
          <w:rFonts w:ascii="Times New Roman" w:hAnsi="Times New Roman" w:cs="Times New Roman"/>
          <w:b/>
          <w:sz w:val="24"/>
          <w:szCs w:val="24"/>
        </w:rPr>
        <w:t>GÜZ</w:t>
      </w:r>
      <w:r w:rsidR="00F96E8C">
        <w:rPr>
          <w:rFonts w:ascii="Times New Roman" w:hAnsi="Times New Roman" w:cs="Times New Roman"/>
          <w:b/>
          <w:sz w:val="24"/>
          <w:szCs w:val="24"/>
        </w:rPr>
        <w:t xml:space="preserve"> YARI</w:t>
      </w:r>
      <w:r w:rsidRPr="00C83004">
        <w:rPr>
          <w:rFonts w:ascii="Times New Roman" w:hAnsi="Times New Roman" w:cs="Times New Roman"/>
          <w:b/>
          <w:sz w:val="24"/>
          <w:szCs w:val="24"/>
        </w:rPr>
        <w:t>YILI YEDEK KONTENJANI</w:t>
      </w:r>
      <w:bookmarkStart w:id="0" w:name="_GoBack"/>
      <w:bookmarkEnd w:id="0"/>
    </w:p>
    <w:p w:rsidR="00C83004" w:rsidRPr="00C83004" w:rsidRDefault="00C83004">
      <w:pPr>
        <w:rPr>
          <w:rFonts w:ascii="Times New Roman" w:hAnsi="Times New Roman" w:cs="Times New Roman"/>
          <w:sz w:val="24"/>
          <w:szCs w:val="24"/>
        </w:rPr>
      </w:pPr>
    </w:p>
    <w:p w:rsidR="00C83004" w:rsidRPr="00C83004" w:rsidRDefault="00C830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4077"/>
        <w:gridCol w:w="2977"/>
        <w:gridCol w:w="2303"/>
      </w:tblGrid>
      <w:tr w:rsidR="00C83004" w:rsidRPr="00C83004" w:rsidTr="00073DE4">
        <w:tc>
          <w:tcPr>
            <w:tcW w:w="4077" w:type="dxa"/>
          </w:tcPr>
          <w:p w:rsidR="00C83004" w:rsidRPr="00C83004" w:rsidRDefault="00C83004" w:rsidP="005845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Anabilim Dalı </w:t>
            </w:r>
          </w:p>
        </w:tc>
        <w:tc>
          <w:tcPr>
            <w:tcW w:w="2977" w:type="dxa"/>
          </w:tcPr>
          <w:p w:rsidR="00C83004" w:rsidRPr="00C83004" w:rsidRDefault="00C83004" w:rsidP="005845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4">
              <w:rPr>
                <w:rFonts w:ascii="Times New Roman" w:hAnsi="Times New Roman" w:cs="Times New Roman"/>
                <w:b/>
                <w:sz w:val="24"/>
                <w:szCs w:val="24"/>
              </w:rPr>
              <w:t>Statüsü</w:t>
            </w:r>
          </w:p>
        </w:tc>
        <w:tc>
          <w:tcPr>
            <w:tcW w:w="2303" w:type="dxa"/>
          </w:tcPr>
          <w:p w:rsidR="00C83004" w:rsidRPr="00C83004" w:rsidRDefault="00C83004" w:rsidP="005845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004">
              <w:rPr>
                <w:rFonts w:ascii="Times New Roman" w:hAnsi="Times New Roman" w:cs="Times New Roman"/>
                <w:b/>
                <w:sz w:val="24"/>
                <w:szCs w:val="24"/>
              </w:rPr>
              <w:t>Kontenjan</w:t>
            </w:r>
          </w:p>
        </w:tc>
      </w:tr>
      <w:tr w:rsidR="00C83004" w:rsidRPr="00C83004" w:rsidTr="00C83004">
        <w:tc>
          <w:tcPr>
            <w:tcW w:w="4077" w:type="dxa"/>
          </w:tcPr>
          <w:p w:rsidR="00C83004" w:rsidRPr="00C83004" w:rsidRDefault="00A51C47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</w:t>
            </w:r>
          </w:p>
        </w:tc>
        <w:tc>
          <w:tcPr>
            <w:tcW w:w="2977" w:type="dxa"/>
          </w:tcPr>
          <w:p w:rsidR="00C83004" w:rsidRPr="00C83004" w:rsidRDefault="00A51C47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303" w:type="dxa"/>
          </w:tcPr>
          <w:p w:rsidR="00C83004" w:rsidRPr="00C83004" w:rsidRDefault="006351E2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75B" w:rsidRPr="00C83004" w:rsidTr="00C83004">
        <w:tc>
          <w:tcPr>
            <w:tcW w:w="4077" w:type="dxa"/>
          </w:tcPr>
          <w:p w:rsidR="007B275B" w:rsidRPr="00C83004" w:rsidRDefault="00A51C47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2977" w:type="dxa"/>
          </w:tcPr>
          <w:p w:rsidR="007B275B" w:rsidRPr="00C83004" w:rsidRDefault="00A51C47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2303" w:type="dxa"/>
          </w:tcPr>
          <w:p w:rsidR="007B275B" w:rsidRPr="00C83004" w:rsidRDefault="006351E2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75B" w:rsidRPr="00C83004" w:rsidTr="00C83004">
        <w:tc>
          <w:tcPr>
            <w:tcW w:w="40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B" w:rsidRPr="00C83004" w:rsidTr="00C83004">
        <w:tc>
          <w:tcPr>
            <w:tcW w:w="40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5B" w:rsidRPr="00C83004" w:rsidTr="00C83004">
        <w:tc>
          <w:tcPr>
            <w:tcW w:w="40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B275B" w:rsidRPr="00C83004" w:rsidRDefault="007B275B" w:rsidP="005845F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004" w:rsidRDefault="00C83004">
      <w:pPr>
        <w:rPr>
          <w:rFonts w:ascii="Times New Roman" w:hAnsi="Times New Roman" w:cs="Times New Roman"/>
          <w:sz w:val="24"/>
          <w:szCs w:val="24"/>
        </w:rPr>
      </w:pPr>
    </w:p>
    <w:p w:rsidR="00C83004" w:rsidRDefault="00C83004">
      <w:pPr>
        <w:rPr>
          <w:rFonts w:ascii="Times New Roman" w:hAnsi="Times New Roman" w:cs="Times New Roman"/>
          <w:sz w:val="24"/>
          <w:szCs w:val="24"/>
        </w:rPr>
      </w:pPr>
    </w:p>
    <w:p w:rsidR="00C83004" w:rsidRPr="00C83004" w:rsidRDefault="009A4FA8" w:rsidP="00F96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Yedek listede olan adayların </w:t>
      </w:r>
      <w:r w:rsidR="006351E2">
        <w:rPr>
          <w:rFonts w:ascii="Times New Roman" w:hAnsi="Times New Roman" w:cs="Times New Roman"/>
          <w:sz w:val="24"/>
          <w:szCs w:val="24"/>
        </w:rPr>
        <w:t>22</w:t>
      </w:r>
      <w:r w:rsidR="00A51C47">
        <w:rPr>
          <w:rFonts w:ascii="Times New Roman" w:hAnsi="Times New Roman" w:cs="Times New Roman"/>
          <w:sz w:val="24"/>
          <w:szCs w:val="24"/>
        </w:rPr>
        <w:t xml:space="preserve"> </w:t>
      </w:r>
      <w:r w:rsidR="006351E2">
        <w:rPr>
          <w:rFonts w:ascii="Times New Roman" w:hAnsi="Times New Roman" w:cs="Times New Roman"/>
          <w:sz w:val="24"/>
          <w:szCs w:val="24"/>
        </w:rPr>
        <w:t>Temmuz</w:t>
      </w:r>
      <w:r w:rsidR="00C83004">
        <w:rPr>
          <w:rFonts w:ascii="Times New Roman" w:hAnsi="Times New Roman" w:cs="Times New Roman"/>
          <w:sz w:val="24"/>
          <w:szCs w:val="24"/>
        </w:rPr>
        <w:t xml:space="preserve"> 201</w:t>
      </w:r>
      <w:r w:rsidR="00A51C47">
        <w:rPr>
          <w:rFonts w:ascii="Times New Roman" w:hAnsi="Times New Roman" w:cs="Times New Roman"/>
          <w:sz w:val="24"/>
          <w:szCs w:val="24"/>
        </w:rPr>
        <w:t>9</w:t>
      </w:r>
      <w:r w:rsidR="00C83004">
        <w:rPr>
          <w:rFonts w:ascii="Times New Roman" w:hAnsi="Times New Roman" w:cs="Times New Roman"/>
          <w:sz w:val="24"/>
          <w:szCs w:val="24"/>
        </w:rPr>
        <w:t xml:space="preserve"> </w:t>
      </w:r>
      <w:r w:rsidR="006351E2">
        <w:rPr>
          <w:rFonts w:ascii="Times New Roman" w:hAnsi="Times New Roman" w:cs="Times New Roman"/>
          <w:sz w:val="24"/>
          <w:szCs w:val="24"/>
        </w:rPr>
        <w:t>Pazartesi</w:t>
      </w:r>
      <w:r w:rsidR="00C83004">
        <w:rPr>
          <w:rFonts w:ascii="Times New Roman" w:hAnsi="Times New Roman" w:cs="Times New Roman"/>
          <w:sz w:val="24"/>
          <w:szCs w:val="24"/>
        </w:rPr>
        <w:t xml:space="preserve"> günü Enstitümüze şahsen veya </w:t>
      </w:r>
      <w:proofErr w:type="gramStart"/>
      <w:r w:rsidR="00C83004">
        <w:rPr>
          <w:rFonts w:ascii="Times New Roman" w:hAnsi="Times New Roman" w:cs="Times New Roman"/>
          <w:sz w:val="24"/>
          <w:szCs w:val="24"/>
        </w:rPr>
        <w:t>vekaletli</w:t>
      </w:r>
      <w:proofErr w:type="gramEnd"/>
      <w:r w:rsidR="00C83004">
        <w:rPr>
          <w:rFonts w:ascii="Times New Roman" w:hAnsi="Times New Roman" w:cs="Times New Roman"/>
          <w:sz w:val="24"/>
          <w:szCs w:val="24"/>
        </w:rPr>
        <w:t xml:space="preserve"> dilekçe ile başvurmaları gerekmektedir. Başvuranlar </w:t>
      </w:r>
      <w:r w:rsidR="00F96E8C">
        <w:rPr>
          <w:rFonts w:ascii="Times New Roman" w:hAnsi="Times New Roman" w:cs="Times New Roman"/>
          <w:sz w:val="24"/>
          <w:szCs w:val="24"/>
        </w:rPr>
        <w:t>arasında yedek listedeki öncelik sıralamasına</w:t>
      </w:r>
      <w:r w:rsidR="00A51C47">
        <w:rPr>
          <w:rFonts w:ascii="Times New Roman" w:hAnsi="Times New Roman" w:cs="Times New Roman"/>
          <w:sz w:val="24"/>
          <w:szCs w:val="24"/>
        </w:rPr>
        <w:t xml:space="preserve"> göre değerlendirme yapılarak, </w:t>
      </w:r>
      <w:r w:rsidR="006351E2">
        <w:rPr>
          <w:rFonts w:ascii="Times New Roman" w:hAnsi="Times New Roman" w:cs="Times New Roman"/>
          <w:sz w:val="24"/>
          <w:szCs w:val="24"/>
        </w:rPr>
        <w:t>2</w:t>
      </w:r>
      <w:r w:rsidR="006351E2">
        <w:rPr>
          <w:rFonts w:ascii="Times New Roman" w:hAnsi="Times New Roman" w:cs="Times New Roman"/>
          <w:sz w:val="24"/>
          <w:szCs w:val="24"/>
        </w:rPr>
        <w:t>3</w:t>
      </w:r>
      <w:r w:rsidR="006351E2">
        <w:rPr>
          <w:rFonts w:ascii="Times New Roman" w:hAnsi="Times New Roman" w:cs="Times New Roman"/>
          <w:sz w:val="24"/>
          <w:szCs w:val="24"/>
        </w:rPr>
        <w:t xml:space="preserve"> Temmuz </w:t>
      </w:r>
      <w:r w:rsidR="00F96E8C">
        <w:rPr>
          <w:rFonts w:ascii="Times New Roman" w:hAnsi="Times New Roman" w:cs="Times New Roman"/>
          <w:sz w:val="24"/>
          <w:szCs w:val="24"/>
        </w:rPr>
        <w:t>201</w:t>
      </w:r>
      <w:r w:rsidR="00A51C47">
        <w:rPr>
          <w:rFonts w:ascii="Times New Roman" w:hAnsi="Times New Roman" w:cs="Times New Roman"/>
          <w:sz w:val="24"/>
          <w:szCs w:val="24"/>
        </w:rPr>
        <w:t>9</w:t>
      </w:r>
      <w:r w:rsidR="00F96E8C">
        <w:rPr>
          <w:rFonts w:ascii="Times New Roman" w:hAnsi="Times New Roman" w:cs="Times New Roman"/>
          <w:sz w:val="24"/>
          <w:szCs w:val="24"/>
        </w:rPr>
        <w:t xml:space="preserve"> </w:t>
      </w:r>
      <w:r w:rsidR="006351E2">
        <w:rPr>
          <w:rFonts w:ascii="Times New Roman" w:hAnsi="Times New Roman" w:cs="Times New Roman"/>
          <w:sz w:val="24"/>
          <w:szCs w:val="24"/>
        </w:rPr>
        <w:t>Salı</w:t>
      </w:r>
      <w:r w:rsidR="00F96E8C">
        <w:rPr>
          <w:rFonts w:ascii="Times New Roman" w:hAnsi="Times New Roman" w:cs="Times New Roman"/>
          <w:sz w:val="24"/>
          <w:szCs w:val="24"/>
        </w:rPr>
        <w:t xml:space="preserve"> günü kayıtları alınacaktır.</w:t>
      </w:r>
    </w:p>
    <w:p w:rsidR="00F96E8C" w:rsidRPr="00C83004" w:rsidRDefault="00F96E8C">
      <w:pPr>
        <w:rPr>
          <w:rFonts w:ascii="Times New Roman" w:hAnsi="Times New Roman" w:cs="Times New Roman"/>
          <w:sz w:val="24"/>
          <w:szCs w:val="24"/>
        </w:rPr>
      </w:pPr>
    </w:p>
    <w:sectPr w:rsidR="00F96E8C" w:rsidRPr="00C8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4"/>
    <w:rsid w:val="005845F6"/>
    <w:rsid w:val="006351E2"/>
    <w:rsid w:val="007B275B"/>
    <w:rsid w:val="009A4FA8"/>
    <w:rsid w:val="00A51C47"/>
    <w:rsid w:val="00A65BDD"/>
    <w:rsid w:val="00A7422E"/>
    <w:rsid w:val="00C4608E"/>
    <w:rsid w:val="00C83004"/>
    <w:rsid w:val="00F21692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saglık</dc:creator>
  <cp:lastModifiedBy>saglık</cp:lastModifiedBy>
  <cp:revision>3</cp:revision>
  <cp:lastPrinted>2019-01-31T05:58:00Z</cp:lastPrinted>
  <dcterms:created xsi:type="dcterms:W3CDTF">2019-07-19T06:04:00Z</dcterms:created>
  <dcterms:modified xsi:type="dcterms:W3CDTF">2019-07-19T06:07:00Z</dcterms:modified>
</cp:coreProperties>
</file>